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420" w:hRule="exact"/>
        </w:trPr>
        <w:tc>
          <w:tcPr>
            <w:tcW w:w="9765" w:type="dxa"/>
            <w:gridSpan w:val="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32"/>
                <w:szCs w:val="32"/>
              </w:rPr>
              <w:t>ООО "РОСМЕТАЛЛ"</w:t>
            </w:r>
          </w:p>
        </w:tc>
      </w:tr>
      <w:tr>
        <w:trPr>
          <w:trHeight w:val="225" w:hRule="exact"/>
        </w:trPr>
        <w:tc>
          <w:tcPr>
            <w:tcW w:w="294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5020079311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502001001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1155020001872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01433066</w:t>
            </w:r>
          </w:p>
        </w:tc>
      </w:tr>
      <w:tr>
        <w:trPr>
          <w:trHeight w:val="22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40702810540000013758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ПАО СБЕРБАНК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044525225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30101810400000000225</w:t>
            </w:r>
          </w:p>
        </w:tc>
      </w:tr>
      <w:tr>
        <w:trPr>
          <w:trHeight w:val="22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</w:tr>
      <w:tr>
        <w:trPr>
          <w:trHeight w:val="6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141604, Московская обл, Клин, Волоколамское шоссе, дом № 11, строение 28</w:t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89261258427,89032501322</w:t>
            </w:r>
          </w:p>
        </w:tc>
      </w:tr>
      <w:tr>
        <w:trPr>
          <w:trHeight w:val="22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</w:tr>
      <w:tr>
        <w:trPr>
          <w:trHeight w:val="315" w:hRule="exact"/>
        </w:trPr>
        <w:tc>
          <w:tcPr>
            <w:tcW w:w="2940" w:type="dxa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24"/>
                <w:szCs w:val="24"/>
              </w:rPr>
              <w:t>Дудырина Татьяна Михайловна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